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14" w:rsidRDefault="00070914" w:rsidP="00070914">
      <w:pPr>
        <w:pStyle w:val="aa"/>
        <w:spacing w:before="0" w:beforeAutospacing="0" w:after="300" w:afterAutospacing="0" w:line="384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bookmarkStart w:id="0" w:name="_GoBack"/>
      <w:r>
        <w:rPr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6313319" cy="8924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961" cy="893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lastRenderedPageBreak/>
        <w:t>- парковок автотранспорта,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- маршрутов следования граждан от остановок общественного транспорта и станций метрополитена (при наличии) до места проведения официальных спортивных соревнований,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- маршрутов движения автотранспорта от места въезда на территорию спортивного сооружения до парковок;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</w:t>
      </w:r>
      <w:r w:rsidRPr="00225555">
        <w:rPr>
          <w:color w:val="000000"/>
          <w:spacing w:val="3"/>
          <w:sz w:val="28"/>
          <w:szCs w:val="28"/>
        </w:rPr>
        <w:t>) количество зон досмотра с количеством используемой досмотровой техники;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Pr="00225555">
        <w:rPr>
          <w:color w:val="000000"/>
          <w:spacing w:val="3"/>
          <w:sz w:val="28"/>
          <w:szCs w:val="28"/>
        </w:rPr>
        <w:t>) схема расположения камер системы видеонаблюдения.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center"/>
        <w:rPr>
          <w:color w:val="000000"/>
          <w:spacing w:val="3"/>
          <w:sz w:val="28"/>
          <w:szCs w:val="28"/>
        </w:rPr>
      </w:pPr>
      <w:r w:rsidRPr="00225555">
        <w:rPr>
          <w:b/>
          <w:bCs/>
          <w:color w:val="000000"/>
          <w:spacing w:val="3"/>
          <w:sz w:val="28"/>
          <w:szCs w:val="28"/>
        </w:rPr>
        <w:t>II. Субъекты обеспечения общественного порядка и общественной безопасности на объекте спорта при проведении официальных спортивных соревнований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3. В инструкции указываются: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3.1. Права и обязанности собственника (пользователя) объекта спорта в соответствии со статьями 20 и 37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2010, N 19, ст. 2290; 2012, N 53 (ч. 1), ст. 7582; 2013, N 23, ст. 2866; N 30 (ч. I), ст. 4025) (далее - Федеральный закон), Правилами обеспечения безопасности, Правилами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(Собрание законодательства Российской Федерации, 2013, N 51, ст. 6866; 2014, N 6, ст. 581) (далее - Правила поведения зрителей).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3.2. Субъекты обеспечения общественного порядка и общественной безопасности: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а) руководители и сотрудники объекта спорта, их полномочия по принятию мер по обеспечению общественного порядка и общественной безопасности при проведении официальных спортивных соревнований;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lastRenderedPageBreak/>
        <w:t>б) руководители частных охранных организаций, осуществляющих по договору с собственником (пользователем) объекта спорта охранные и контрольно-пропускные функции в повседневном режиме, и их полномочия.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3.3. Особенности организации контрольно-пропускного и внутриобъектового режимов: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а) порядок пропуска граждан на объект спорта при подготовке к проведению официального спортивного соревнования, при его проведении и завершении;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б) порядок проезда транспорта на территорию объекта спорта при подготовке к проведению официального спортивного соревнования, при его проведении и завершении;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в) порядок ввоза и вывоза различных грузов на территорию объекта спорта;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г) порядок организации контрольно-пропускного и внутриобъектового режимов, в том числе связанный с наличием зон (помещений), доступ в которые ограничен.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center"/>
        <w:rPr>
          <w:color w:val="000000"/>
          <w:spacing w:val="3"/>
          <w:sz w:val="28"/>
          <w:szCs w:val="28"/>
        </w:rPr>
      </w:pPr>
      <w:r w:rsidRPr="00225555">
        <w:rPr>
          <w:b/>
          <w:bCs/>
          <w:color w:val="000000"/>
          <w:spacing w:val="3"/>
          <w:sz w:val="28"/>
          <w:szCs w:val="28"/>
        </w:rPr>
        <w:t>III. Обеспечение общественного порядка и общественной безопасности на объекте спорта при проведении официальных спортивных соревнований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4. Порядок реализации мер по обеспечению общественного порядка и общественной безопасности в период проведения официальных спортивных соревнований включает: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а) уведомление собственником (пользователем) объекта спорта соответствующих территориальных органов МВД России и ФСБ России о месте, дате и сроке проведения официальных спортивных соревнований;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 xml:space="preserve">б) создание координационного органа (штаба, комиссии) в целях обеспечения общественного порядка и общественной безопасности с участием представителей организатора официальных спортивных соревнований, собственника (пользователя) объекта спорта, органов </w:t>
      </w:r>
      <w:r w:rsidRPr="00225555">
        <w:rPr>
          <w:color w:val="000000"/>
          <w:spacing w:val="3"/>
          <w:sz w:val="28"/>
          <w:szCs w:val="28"/>
        </w:rPr>
        <w:lastRenderedPageBreak/>
        <w:t>местного самоуправления, территориальных органов МВД России и ФСБ России по согласованию;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в) зонирование места проведения официального спортивного соревнования с учетом его особенностей и положения (регламента) официального спортивного соревнования;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г) утверждение согласованного с территориальным органом МВД России плана мероприятий по обеспечению общественного порядка и общественной безопасности при проведении официальных спортивных соревнований, разработанного в соответствии с типовым планом мероприятий по обеспечению общественного порядка и общественной безопасности на объекте спорта при проведении официальных спортивных соревнований с учетом положения (регламента) официального спортивного соревнования;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д) проверку места проведения официального спортивного соревнования на предмет готовности к проведению официального спортивного соревнования с привлечением сотрудников, включенных в координационный орган (штаб, комиссию), с утверждением соответствующего акта;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е) расчет сил и средств, привлекаемых организатором официальных спортивных соревнований и (или) собственником (пользователем) объекта спорта для обеспечения общественного порядка и общественной безопасности при проведении официального спортивного соревнования;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ж) инструктаж сил, привлекаемых организатором и (или) собственником (пользователем) объекта спорта для обеспечения общественного порядка и общественной безопасности при проведении официальных спортивных соревнований (далее - силы);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з) организацию совместно с сотрудниками органов внутренних дел обеспечения общественного порядка и общественной безопасности, в том числе личного осмотра граждан и осмотра находящихся при них вещей при входе в места проведения официальных спортивных соревнований с применением в случае необходимости технических средств;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lastRenderedPageBreak/>
        <w:t>и) организацию взаимодействия сил, в том числе с представителями собственника (пользователя) объекта спорта и сотрудниками органов внутренних дел (средства связи, алгоритмы действий при возникновении внештатных ситуаций);</w:t>
      </w:r>
    </w:p>
    <w:p w:rsidR="00225555" w:rsidRPr="00225555" w:rsidRDefault="00225555" w:rsidP="00225555">
      <w:pPr>
        <w:pStyle w:val="aa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225555">
        <w:rPr>
          <w:color w:val="000000"/>
          <w:spacing w:val="3"/>
          <w:sz w:val="28"/>
          <w:szCs w:val="28"/>
        </w:rPr>
        <w:t>к) подведение итогов обеспечения общественного порядка и общественной безопасности в составе координационного органа (штаба, комиссии).</w:t>
      </w:r>
    </w:p>
    <w:p w:rsidR="00366674" w:rsidRPr="00366674" w:rsidRDefault="00366674" w:rsidP="00225555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66674" w:rsidRPr="00366674" w:rsidSect="00DE40A5">
      <w:type w:val="continuous"/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F6" w:rsidRDefault="00F269F6" w:rsidP="000A72E8">
      <w:pPr>
        <w:spacing w:after="0" w:line="240" w:lineRule="auto"/>
      </w:pPr>
      <w:r>
        <w:separator/>
      </w:r>
    </w:p>
  </w:endnote>
  <w:endnote w:type="continuationSeparator" w:id="0">
    <w:p w:rsidR="00F269F6" w:rsidRDefault="00F269F6" w:rsidP="000A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F6" w:rsidRDefault="00F269F6" w:rsidP="000A72E8">
      <w:pPr>
        <w:spacing w:after="0" w:line="240" w:lineRule="auto"/>
      </w:pPr>
      <w:r>
        <w:separator/>
      </w:r>
    </w:p>
  </w:footnote>
  <w:footnote w:type="continuationSeparator" w:id="0">
    <w:p w:rsidR="00F269F6" w:rsidRDefault="00F269F6" w:rsidP="000A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F5E"/>
    <w:multiLevelType w:val="multilevel"/>
    <w:tmpl w:val="709EF06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A3A85"/>
    <w:multiLevelType w:val="multilevel"/>
    <w:tmpl w:val="41BE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7F5E3E"/>
    <w:multiLevelType w:val="multilevel"/>
    <w:tmpl w:val="97B22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236B25"/>
    <w:multiLevelType w:val="hybridMultilevel"/>
    <w:tmpl w:val="7DE41F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CF9080E"/>
    <w:multiLevelType w:val="hybridMultilevel"/>
    <w:tmpl w:val="56C677F8"/>
    <w:lvl w:ilvl="0" w:tplc="074A22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4293"/>
    <w:multiLevelType w:val="multilevel"/>
    <w:tmpl w:val="EE327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F0413D9"/>
    <w:multiLevelType w:val="hybridMultilevel"/>
    <w:tmpl w:val="07024286"/>
    <w:lvl w:ilvl="0" w:tplc="614C01C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0797855"/>
    <w:multiLevelType w:val="hybridMultilevel"/>
    <w:tmpl w:val="2E9E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92049"/>
    <w:multiLevelType w:val="hybridMultilevel"/>
    <w:tmpl w:val="4CFA61C4"/>
    <w:lvl w:ilvl="0" w:tplc="21AE5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7E"/>
    <w:rsid w:val="0000082D"/>
    <w:rsid w:val="00016787"/>
    <w:rsid w:val="00030DAF"/>
    <w:rsid w:val="0004187F"/>
    <w:rsid w:val="00070914"/>
    <w:rsid w:val="000A72E8"/>
    <w:rsid w:val="000B060D"/>
    <w:rsid w:val="000C104D"/>
    <w:rsid w:val="000E2F31"/>
    <w:rsid w:val="001D0681"/>
    <w:rsid w:val="00221990"/>
    <w:rsid w:val="00225555"/>
    <w:rsid w:val="00232472"/>
    <w:rsid w:val="00274029"/>
    <w:rsid w:val="00303B95"/>
    <w:rsid w:val="00316EA3"/>
    <w:rsid w:val="00317145"/>
    <w:rsid w:val="00366674"/>
    <w:rsid w:val="003A6FBE"/>
    <w:rsid w:val="003C6184"/>
    <w:rsid w:val="003E23F4"/>
    <w:rsid w:val="00425FEE"/>
    <w:rsid w:val="004272DC"/>
    <w:rsid w:val="0048263C"/>
    <w:rsid w:val="004B1CD6"/>
    <w:rsid w:val="004E0477"/>
    <w:rsid w:val="004E4520"/>
    <w:rsid w:val="005777BB"/>
    <w:rsid w:val="005A62DE"/>
    <w:rsid w:val="005C48A2"/>
    <w:rsid w:val="005C5F50"/>
    <w:rsid w:val="00630E7E"/>
    <w:rsid w:val="00647274"/>
    <w:rsid w:val="006959E4"/>
    <w:rsid w:val="007013B0"/>
    <w:rsid w:val="0073420A"/>
    <w:rsid w:val="00761DDD"/>
    <w:rsid w:val="007B1181"/>
    <w:rsid w:val="007E1A0A"/>
    <w:rsid w:val="007E3753"/>
    <w:rsid w:val="007E678B"/>
    <w:rsid w:val="007F39B7"/>
    <w:rsid w:val="008137DB"/>
    <w:rsid w:val="008264F1"/>
    <w:rsid w:val="00833111"/>
    <w:rsid w:val="00846479"/>
    <w:rsid w:val="00852734"/>
    <w:rsid w:val="00876825"/>
    <w:rsid w:val="008D3C43"/>
    <w:rsid w:val="00A00B3E"/>
    <w:rsid w:val="00A378EE"/>
    <w:rsid w:val="00A562CA"/>
    <w:rsid w:val="00AC2C16"/>
    <w:rsid w:val="00B14B7E"/>
    <w:rsid w:val="00B34662"/>
    <w:rsid w:val="00B63783"/>
    <w:rsid w:val="00B968A9"/>
    <w:rsid w:val="00CD1BB3"/>
    <w:rsid w:val="00CF6544"/>
    <w:rsid w:val="00D02F7E"/>
    <w:rsid w:val="00D2649A"/>
    <w:rsid w:val="00D6217C"/>
    <w:rsid w:val="00D70AB8"/>
    <w:rsid w:val="00DB0416"/>
    <w:rsid w:val="00DC3673"/>
    <w:rsid w:val="00DE40A5"/>
    <w:rsid w:val="00DF6FF1"/>
    <w:rsid w:val="00E04BB3"/>
    <w:rsid w:val="00E62B77"/>
    <w:rsid w:val="00E82715"/>
    <w:rsid w:val="00EB58CD"/>
    <w:rsid w:val="00EC5B26"/>
    <w:rsid w:val="00ED71A6"/>
    <w:rsid w:val="00EE793A"/>
    <w:rsid w:val="00EF7B55"/>
    <w:rsid w:val="00F00EEE"/>
    <w:rsid w:val="00F14C09"/>
    <w:rsid w:val="00F269F6"/>
    <w:rsid w:val="00F548A0"/>
    <w:rsid w:val="00F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E616"/>
  <w15:docId w15:val="{266CF6C3-5353-4CDE-B57D-23B443D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2E8"/>
  </w:style>
  <w:style w:type="paragraph" w:styleId="a5">
    <w:name w:val="footer"/>
    <w:basedOn w:val="a"/>
    <w:link w:val="a6"/>
    <w:uiPriority w:val="99"/>
    <w:unhideWhenUsed/>
    <w:rsid w:val="000A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2E8"/>
  </w:style>
  <w:style w:type="paragraph" w:styleId="a7">
    <w:name w:val="List Paragraph"/>
    <w:basedOn w:val="a"/>
    <w:uiPriority w:val="34"/>
    <w:qFormat/>
    <w:rsid w:val="007B11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C4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2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AA54-90FC-4628-B51B-6595B0A0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61</cp:revision>
  <cp:lastPrinted>2020-02-26T09:47:00Z</cp:lastPrinted>
  <dcterms:created xsi:type="dcterms:W3CDTF">2018-10-11T05:20:00Z</dcterms:created>
  <dcterms:modified xsi:type="dcterms:W3CDTF">2020-05-27T08:52:00Z</dcterms:modified>
</cp:coreProperties>
</file>